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339f78e6b64b7f" /><Relationship Type="http://schemas.openxmlformats.org/package/2006/relationships/metadata/core-properties" Target="/package/services/metadata/core-properties/76623613977742deb5ccee3b42164140.psmdcp" Id="R8c82906a676643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EU-Manipulationsversuch: Schweizer Bundesgericht macht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Schweizer Bundesgericht macht Politik. Der Schweizer Bundesrat kündigte übers Jahresende 2015/2016 an, ein „Schutzklauselmodell“ zwecks Einschränkung der Masseneinwanderung einzuführen. Dies allenfalls auch ohne die Zustimmung von Brüssel.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Schweizer Bundesgericht macht Politik. Der Schweizer Bundesrat kündigte übers Jahresende 2015/2016 an, ein „Schutzklauselmodell“ zwecks Einschränkung der Masseneinwanderung einzuführen. Dies allenfalls auch ohne die Zustimmung von Brüssel. Nach dieser Ankündigung des Bundesrates, hatte sich Ende Januar 2016 das höchste Schweizer Gericht eingeschaltet und den bundesrätlichen Willen als Vertragsverletzung bezeichnet. Im Falle einer Klage gegen den eigenständigen Begrenzungsentscheid des Bundesrates, werde es als höchstes Schweizer Gericht,  der von der EU festgelegten, uneingeschränkten Personenfreizügigkeit klar den Vorrang geben. </w:t>
        <w:br/>
        <w:t xml:space="preserve">Mit der Unterzeichnung des Personenfreizügigkeitsabkommens mit der EU, hatte die Schweiz die eigenständige Regelung der Zuwanderung abgegeben. Mit der Masseneinwanderungsinitiative vom 9.2.2014 hatte die Mehrheit des Schweizer Volkes sich dafür entschieden, die Zuwanderung wieder selber zu regeln.</w:t>
        <w:br/>
        <w:t xml:space="preserve">Diese Einmischung des Bundesgerichts geschieht allerdings nicht von ungefähr, es folgt damit einer Handlungsanweisung, die dem Bundesrat bereits vor fünf Jahren ausdrücklich empfohlen worden ist. Die Empfehlung  findet sich in jenem Gutachten, das der Staatsrechtler  Daniel Thürer dem Bundesrat am 7.7.2011 unterbreitet hat. Gemäß dem Komitee gegen den schleichenden EU-Beitritt zeigt dieses Gutachten dem Bundesrat einen Weg, wie er die Schweiz an jeglicher Volksabstimmung vorbei als Vollmitglied in die EU dirigieren könnte.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cb./rs.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EU-No Infoblatt vom 10.3.2016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EU-Manipulationsversuch: Schweizer Bundesgericht macht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EU-Manipulationsversuch: Schweizer Bundesgericht macht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