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2e93d89194b03" /><Relationship Type="http://schemas.openxmlformats.org/package/2006/relationships/metadata/core-properties" Target="/package/services/metadata/core-properties/38dfe4ed7dd041ff9cdfe464c6539f5c.psmdcp" Id="Rf0b074311cc94e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EU-Recht steht über nationalem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von der Mehrheit des Schweizer Bundesrates angestrebte Rahmenvertrag mit der EU, beinhaltet unter anderem die Anerkennung des EU-Gerichtshofes. Der EU-Gerichtshof soll für die Schweiz bei Meinungsverschiedenheiten als höchste, unanfechtbare Entscheidungsinstanz gelten.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von der Mehrheit des Schweizer Bundesrates angestrebte Rahmenvertrag mit der EU, beinhaltet unter anderem die Anerkennung des EU-Gerichtshofes. Der EU-Gerichtshof soll für die Schweiz bei Meinungsverschiedenheiten als höchste, unanfechtbare Entscheidungsinstanz gelten. Bundesrat Didier Burkhalter verbreitet jedoch stets die Meinung, dass die Entscheide des EU-Gerichtshofs grundsätzlich den Charakter von Gutachten hätten, also Empfehlungen gleich kämen, deren Umsetzung Sache der politischen Behörden sei. Dem widerspricht Koen Lenaerts, Präsident des EU-Gerichtshofs, entschieden. Er bekräftigt, dass die Entscheidungen des EU-Gerichtshofes stets verbindliches Recht sind: „Selbst wenn wir ein Gutachten erstellen, dürfen EU-Vertreter nichts beschließen, das dem Gutachten widerspricht.“ Zentrale Aufgabe des höchsten EU-Gerichts ist es also, den Vorrang von EU-Recht über alles nationale Recht in Europa verbindlich durchzusetzen. </w:t>
        <w:br/>
        <w:t xml:space="preserve">Lenaerts Aussage legt somit offen, dass die Schweizer Öffentlichkeit mit der „Gutachten-Theorie“ des Bundesrates über die wahren Auswirkungen des Rahmenvertrages getäuscht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http://eu-no.ch/news/was-der-eugh-sagt-ist-absolut-verbindlich_113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EU-Recht steht über nationalem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was-der-eugh-sagt-ist-absolut-verbindlich_11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EU-Recht steht über nationalem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