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4866ae2215447f" /><Relationship Type="http://schemas.openxmlformats.org/package/2006/relationships/metadata/core-properties" Target="/package/services/metadata/core-properties/8629b2b6e6ad495d993424d4921d01ec.psmdcp" Id="R11f2f3a4f00345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Mobilfunk-Grenzwerte orientieren sich am Profit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am  15.6.12  reichte der  damalige  Nationalrat  Ruedi Noser FDP, ein Postulat ein, das die  Anlagegrenzwerte  von  Mobilfunkantennen in der Schweiz abschaffen und dafür den Grenzwert  der  ICNIRP*  e.V.  einführen  soll.  Dieser  eingetragene Verein  hat  sich  zum  Ziel  gesetzt,  einen  „industriefreundlichen“**  Grenzwert  zu  entwerfen.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mehr als 4 Jahren versucht die Mobilfunkindustrie in der Schweiz den aktuellen Anlagegrenzwert für Mobilfunkantennen abzuschaffen und dafür einen höheren Grenzwert, den der ICNIRP einzuführen. Die ICNIRP, zu Deutsch „die Kommission für nicht ionisierende Strahlung“ ist ein eingetragener Verein mit Sitz in München. Sie hat sich zum Ziel gesetzt, einen „industriefreundlichen“ Grenzwert zu entwerfen. Das bedeutet in der Praxis, einen Grenzwert, der den Profit steigert, ungeachtet der Schäden an Mensch und Umwelt. Die Mobilfunkindustrie akzeptiert nämlich nur Schäden durch Funkstrahlung, die auf der Erwärmung von Gewebe basieren. Alle anderen, nicht durch Erwärmung verursachten Schäden durch Mobilfunkstrahlung wie z.B. Blutbildveränderungen, Verhaltensauffälligkeiten, Schlafstörungen oder Krebs, bleiben durch diese Grenzwertfestlegung unberücksichtigt, ja sie werden sogar geleugnet. Vergleichbar wäre dies zum Beispiel, wie wenn jemand mithilfe eines Thermometers versucht, die Strahlengefährdung von Radioaktivität neben einem Atomkraftwert oder einem Castor-Behälter zu messen und dann argumentieren würde: „Wir haben keine Temperaturerhöhung, also ist Radioaktivität unschädlich.“ Im Fall der Mobilfunk-Strahlung gilt: Der Mensch wird durch die Funkstrahlung nicht warm, sondern krank! Was wünschen Sie sich als  betroffener Bürger: Soll das Strahlenschutzgesetz der Industrie oder dem Schutz der Bevölkerung dienen?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http://ul-we.de/warum-werden-die-deutschen-grenzwerte-von-internationalen-wissenschaftler-als-ungeeignet-eingestuft/</w:t>
        </w:r>
      </w:hyperlink>
      <w:r w:rsidR="0026191C">
        <w:rPr/>
        <w:br/>
      </w:r>
      <w:hyperlink w:history="true" r:id="rId22">
        <w:r w:rsidRPr="00F24C6F">
          <w:rPr>
            <w:rStyle w:val="Hyperlink"/>
          </w:rPr>
          <w:rPr>
            <w:sz w:val="18"/>
          </w:rPr>
          <w:t>http://ul-we.de/wp-content/uploads/2010/08/heft4_Warum-Grenzwerte-sch%C3%A4digen-und-trotzdem-aufrecht-erhalten-werden.pdf</w:t>
        </w:r>
      </w:hyperlink>
      <w:r w:rsidR="0026191C">
        <w:rPr/>
        <w:br/>
      </w:r>
      <w:hyperlink w:history="true" r:id="rId23">
        <w:r w:rsidRPr="00F24C6F">
          <w:rPr>
            <w:rStyle w:val="Hyperlink"/>
          </w:rPr>
          <w:rPr>
            <w:sz w:val="18"/>
          </w:rPr>
          <w:t>http://www.aargauerzeitung.ch/schweiz/datenflutfunkantennen-strahlenwohl-bald-staerker-128879461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Mobilfunk-Grenzwerte orientieren sich am Profit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warum-werden-die-deutschen-grenzwerte-von-internationalen-wissenschaftler-als-ungeeignet-eingestuft/" TargetMode="External" Id="rId21" /><Relationship Type="http://schemas.openxmlformats.org/officeDocument/2006/relationships/hyperlink" Target="http://ul-we.de/wp-content/uploads/2010/08/heft4_Warum-Grenzwerte-sch%C3%A4digen-und-trotzdem-aufrecht-erhalten-werden.pdf" TargetMode="External" Id="rId22" /><Relationship Type="http://schemas.openxmlformats.org/officeDocument/2006/relationships/hyperlink" Target="http://www.aargauerzeitung.ch/schweiz/datenflutfunkantennen-strahlenwohl-bald-staerker-128879461" TargetMode="External" Id="rId23" /><Relationship Type="http://schemas.openxmlformats.org/officeDocument/2006/relationships/hyperlink" Target="https://www.kla.tv/5G-Mobilfun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Mobilfunk-Grenzwerte orientieren sich am Profit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