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b2ad0763614ce7" /><Relationship Type="http://schemas.openxmlformats.org/package/2006/relationships/metadata/core-properties" Target="/package/services/metadata/core-properties/7a613e7c0c42488c8045d704cd30affe.psmdcp" Id="R91e55a68839b45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LPMA : une tendance dangereuse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tendance globale de la médecine de la reproduction donne l’impression que rien de bon ne se profile. En Grande-Bretagne par exemple l’autorité de fertilisation et embryologie humaine (HFEA) a déjà autorisé la manipulation génétique des embryons surnuméraires.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Une tendance dangereuse : La modification de la loi sur la procréation médicalement assistée</w:t>
        <w:br/>
        <w:t xml:space="preserve">La tendance globale de la médecine de la reproduction donne l’impression que rien de bon ne se profile. En Grande-Bretagne par exemple l’autorité de fertilisation et embryologie humaine (HFEA) a déjà autorisé la manipulation génétique des embryons surnuméraires.  </w:t>
        <w:br/>
        <w:t xml:space="preserve">De plus la liste des critères de sélection est enrichie tous les ans de dizaines d’anomalies génétiques – y compris celles qui permettraient pourtant aux concernés d’avoir une bonne qualité de vie. Avec cette loi révisée sur la procréation médicalement assistée (LPMA), on assisterait en Suisse à une rupture de digue éthique et constitutionnelle. Pour la première fois la vie humaine à son premier stade pourrait être estimée et commercialisée.</w:t>
        <w:br/>
        <w:t xml:space="preserve">C’est pour cela que le rejet de la loi révisée sur la procréation médicalement assistée est non seulement une affaire de dignité humaine, mais aussi une question de justice. Qui a le droit de dire : « Parce que tu n’es pas un « embryon-top », tu n’as plus le droit de vivre ? » En 2014 le Conseiller fédéral Alain Berset lui-même avait mis en garde contre les tendances eugéniques de cette loi. Il faut qu’on assigne des limites éthiques et juridiques précises à l’illusion que tout est possible. Car ce qui est aujourd’hui encore un tabou, sera demain une possibilité et sera propagé après-demain comme quelque chose de tout naturel. Voilà pourquoi le 5 juin 2016 en Suisse, votez NON à la loi révisée sur la procréation médicalement assistée.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www.fmedg-nein.ch/argumente/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#InitiativesPopulairesSuisses - populaires suisses - </w:t>
      </w:r>
      <w:hyperlink w:history="true" r:id="rId22">
        <w:r w:rsidRPr="00F24C6F">
          <w:rPr>
            <w:rStyle w:val="Hyperlink"/>
          </w:rPr>
          <w:t>www.kla.tv/InitiativesPopulairesSuisses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LPMA : une tendance dangereuse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www.kla.tv/8434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medg-nein.ch/argumente/" TargetMode="External" Id="rId21" /><Relationship Type="http://schemas.openxmlformats.org/officeDocument/2006/relationships/hyperlink" Target="https://www.kla.tv/InitiativesPopulairesSuiss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3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LPMA : une tendance dangereuse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