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19e49109c04c29" /><Relationship Type="http://schemas.openxmlformats.org/package/2006/relationships/metadata/core-properties" Target="/package/services/metadata/core-properties/e43da71cd0e7460cab1e8c09ed77b8b3.psmdcp" Id="Rbf86a78f3c974e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Tetanus – kein Grund zur Panik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einer gut blutenden Wunde ist es kaum möglich, sich mit Tetanus zu infizieren. Wundstarrkrampf ist heute sehr selten geworden.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einer gut blutenden Wunde ist es kaum möglich, sich mit Tetanus zu infizieren. Wundstarrkrampf ist heute sehr selten geworden. – Zählte man 1945 in Deutschland 250.000 Erkrankungen, so waren es 1985 nur noch vier. Selbst ein natürlich durchgemachter Wundstarrkrampf verleiht keine Immunität, eine Impfung ist folglich wertlos! Gesunde Menschen haben gute Heilungschancen. Ähnlich verhält es sich bei vielen weiteren von der Pharmaindustrie als „sehr gefährlich“ eingestuften Infektionskrankheiten.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http://www.homoeopathie-schmid.de/Templates/Impfen_Aegis.htm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Tetanus – kein Grund zur Panik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omoeopathie-schmid.de/Templates/Impfen_Aegis.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Tetanus – kein Grund zur Panik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