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97595491886448f" /><Relationship Type="http://schemas.openxmlformats.org/package/2006/relationships/metadata/core-properties" Target="/package/services/metadata/core-properties/716ca76d116f4a3682b2857e80f6c772.psmdcp" Id="R8cc8e8394e4346f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W-LAN разрушает наши клетки  – LAN-соединение помогает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Греческий учёный Адамантия Фрагопулу исследовала электромагнитные волны  и их влияние на 200 протеинов, взятых из клеток головного мозга.  
При этом, например, выяснилось, что если дома находится система W-LAN,то из этих 200 протеинов 143 будут  необратимо уничтожены.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Греческий учёный Адамантия Фрагопулу исследовала электромагнитные волны  и их влияние на 200 протеинов, взятых из клеток головного мозга.  </w:t>
        <w:br/>
        <w:t xml:space="preserve">При этом, например, выяснилось, что если дома находится система W-LAN,то из этих 200 протеинов 143 будут  необратимо уничтожены. Беспроводной телефон наносит тот же самый вред. Такие системы 24 часа в сутки посылают волны с этой смертоносной частотой. При этом разрушаются энзимы (ферменты), которые задействованы почти во всех процессах обмена веществ в организме.</w:t>
        <w:br/>
        <w:t xml:space="preserve">Не смотря на эти знания, W-LAN и дальше все больше предлагают и продают.При этом шаг назад к проводному телефону и к сети компьютеров, соединенных между собой посредством кабелей  является единственно логическим и к тому жe легко осуществимым выходом из создавшейся ситуации.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ts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Vortrag von Dr. med. DietrichKlinghardt: Autismus, Umweltbelastungen &amp; Entgiftung, ab Minute 25:43,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www.youtube.com/watch?v=1kxqfE2VfD8</w:t>
        </w:r>
      </w:hyperlink>
      <w:r w:rsidRPr="002B28C8">
        <w:t xml:space="preserve">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www.ncbi.nlm.nih.gov/pubmed/</w:t>
        </w:r>
      </w:hyperlink>
      <w:r w:rsidR="0026191C">
        <w:rPr/>
        <w:br/>
      </w:r>
      <w:r w:rsidRPr="002B28C8">
        <w:t xml:space="preserve">22263702?dopt=Abstract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W-LAN разрушает наши клетки  – LAN-соединение помогает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www.kla.tv/5467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04.03.2015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1kxqfE2VfD8" TargetMode="External" Id="rId21" /><Relationship Type="http://schemas.openxmlformats.org/officeDocument/2006/relationships/hyperlink" Target="https://www.ncbi.nlm.nih.gov/pubmed/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46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46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W-LAN разрушает наши клетки  – LAN-соединение помогает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