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0f56e9c897411f" /><Relationship Type="http://schemas.openxmlformats.org/package/2006/relationships/metadata/core-properties" Target="/package/services/metadata/core-properties/4922df71aebf4406b499986655d7e7dc.psmdcp" Id="Rd0fc6e5ddbae43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Halbherzige UN-Resolution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November 2012 hat das Erste Kommitee der Generalversammlung der Vereinten Nationen mit großer Mehrheit eine Resolution verabschiedet,...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November 2012 hat das Erste Kommitee der Generalversammlung der Vereinten Nationen mit großer Mehrheit eine Resolution verabschiedet, in der erhöhte Vorsichtsmaßnahmen beim Einsatz von Uranmunition verlangt werden. Insbesondere geht es darum, nach entsprechenden Einsätzen der als problematisch angesehenen Munition Aufräum- und Dekontaminationsmaßnahmen durchzuführen, Zivilisten besser zu schützen und Langzeitstudien über kontaminierte Gebiete anzustellen. Die Resolution stieß auf erbitterten Widerstand der drei Mächte, die nachweislich Uranmunition einsetzen und das auch zugeben: Frankreich, Großbritannien und die USA. Israel hat sich als vierter NEINSager diesen Verweigerern in der UNO wie so oft angeschlossen. Was treibt diese Staaten angesichts der verheerenden Wirkungen solcher Munition dazu, sich nur schon gegen erhöhte Vorsichtsmassnahmen auszusprechen, wo vielmehr doch ein Verbot zwingend wäre?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www.ag-friedensforschung.de/themen/DU-Geschosse/uno.html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Halbherzige UN-Resolution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friedensforschung.de/themen/DU-Geschosse/uno.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Halbherzige UN-Resolution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