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f446d98466498e" /><Relationship Type="http://schemas.openxmlformats.org/package/2006/relationships/metadata/core-properties" Target="/package/services/metadata/core-properties/ee0360ded57e402ea33523effe35b03d.psmdcp" Id="Rab28ae96705244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zum EU-Themenblock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wahren Gründe der „EU-Müdigkeit“ jedenfalls werden in Politik und Medien nur wenig diskutiert. Zwar haben die Spitzenkandidaten Änderung versprochen, aber woher kommen denn die jetzigen Zustände, wenn nicht aus der Feder ihrer eigenen Parteien?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wahren Gründe der „EU-Müdigkeit“ jedenfalls werden in Politik und Medien nur wenig diskutiert. Zwar haben die Spitzenkandidaten Änderung versprochen, aber woher kommen denn die jetzigen Zustände, wenn nicht aus der Feder ihrer eigenen Parteien? In der heutigen Sendereihe sollen einige Aspekte beleuchtet werden, die zeigen, was deren Europa für ein Gebilde ist. Als Militärunion, also innerhalb der NATO, befinden wir uns seit 2001 im Krieg, als Schuldenunion büßen wir für die Zockerspiele der Banken, mit der Gerichtsbarkeitsunion wird die Zwangstoleranz durchgesetzt.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1">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zum EU-Themenblock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Politik"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zum EU-Themenblock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