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be8908c119845b3" /><Relationship Type="http://schemas.openxmlformats.org/package/2006/relationships/metadata/core-properties" Target="/package/services/metadata/core-properties/4a9e990e57fc493d836b38b3bd8cbab3.psmdcp" Id="Rba10e7b328194cc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viel Strom darf durch den EU-Honig fließen?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Wer meint, die EU habe alles bereits durchreguliert, täuscht sich gewaltig: Brüssel definiert laufend neue, z.B. auch so unnötige Richtwerte wie die elektrische Leitfähigkeit des Honigs. Nein, das ist
kein Scherz! Bei Waldhonig muss diese einen Wert von 0.8 Mikrosiemens pro Zentimeter betragen. Was es bringen soll, wissen wohl selbst die EU-Kommissare nicht...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Wer meint, die EU habe bereits alles durchreguliert, täuscht sich gewaltig: Brüssel definiert laufend neue, z.B. auch so unnötige Richtwerte wie die elektrische Leitfähigkeit des Honigs. Nein, es ist kein Scherz! Bei Waldhonig muss diese einen Wert von 0.8 Mikrosiemens pro Zentimeter betragen. Was es bringen soll, wissen wohl selbst die EU-Kommissare nicht. Doch aufmerksame Bürger erkennen, wie sich diese EU-Kraten auf diesem Weg</w:t>
        <w:br/>
        <w:t xml:space="preserve">scheibchenweise selber immer mehr Macht aneignen. Wer immer ihnen diese stetig zunehmende Machtfülle zugestehen will, der schweige einfach auch fernerhin zu all</w:t>
        <w:br/>
        <w:t xml:space="preserve">deren Treiben!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sj.</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www.merkur-online.de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#EU-Politik - unter der Lupe - </w:t>
      </w:r>
      <w:hyperlink w:history="true" r:id="rId22">
        <w:r w:rsidRPr="00F24C6F">
          <w:rPr>
            <w:rStyle w:val="Hyperlink"/>
          </w:rPr>
          <w:t>www.kla.tv/EU-Politik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viel Strom darf durch den EU-Honig fließen?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www.kla.tv/4168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22.09.2014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erkur-online.de" TargetMode="External" Id="rId21" /><Relationship Type="http://schemas.openxmlformats.org/officeDocument/2006/relationships/hyperlink" Target="https://www.kla.tv/EU-Politik"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16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1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viel Strom darf durch den EU-Honig fließen?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