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91f5fc7af14668" /><Relationship Type="http://schemas.openxmlformats.org/package/2006/relationships/metadata/core-properties" Target="/package/services/metadata/core-properties/0fc79fe5c3b244319fe20f4e71fe800e.psmdcp" Id="Rb9ce0926885f4b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weiterer Schritt zum gläsernen Bürger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Oktober 2011 haben in Deutschland die Krankenkassen mit der Ausgabe der elektronischen Gesundheitskarte begonnen.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Oktober 2011 haben in Deutschland die Krankenkassen mit der Ausgabe der elektronischen Gesundheitskarte begonnen. Auf dieser umstrittenen und seit Jahren von Ärzteverbänden und Datenschützern bekämpften Karte sollen stufenweise eine Vielzahl höchstpersönlicher und sensibler Daten zentral gespeichert werden: alle Erkrankungen, Diagnosen (und Fehldiagnosen), Rezepte, Untersuchungen, Therapien, Behandlungen, Krankenhausaufenthalte, unter anderem auch die Einwilligung oder Ablehnung zur Organspende. Eine weitere umfangreiche Datensammlung über jeden einzelnen Bürger soll so entstehen. Offiziell ist der Zugriff auf die Daten nur Gesundheitsinstitutionen erlaubt, Datenmissbrauch aber ist ein allseits bekanntes Phänomen. Ist der Wunsch nach einem „gläsernen Bürger“ denn inzwischen mehrheitsfähig geworden?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clm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www.foebud.org/gesundheitskarte</w:t>
        </w:r>
      </w:hyperlink>
      <w:hyperlink w:history="true" r:id="rId22">
        <w:r w:rsidRPr="00F24C6F">
          <w:rPr>
            <w:rStyle w:val="Hyperlink"/>
          </w:rPr>
          <w:rPr>
            <w:sz w:val="18"/>
          </w:rPr>
          <w:t>http://www.bmg.bund.de/Krankenversicherung/elektronische-gesundheitskarte.html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weiterer Schritt zum gläsernen Bürger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ebud.org/gesundheitskarte" TargetMode="External" Id="rId21" /><Relationship Type="http://schemas.openxmlformats.org/officeDocument/2006/relationships/hyperlink" Target="http://www.bmg.bund.de/Krankenversicherung/elektronische-gesundheitskarte.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weiterer Schritt zum gläsernen Bürger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