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f6ab70c27b40bb" /><Relationship Type="http://schemas.openxmlformats.org/package/2006/relationships/metadata/core-properties" Target="/package/services/metadata/core-properties/a5bc03f7e8d84d7ca3c723efd035a2e3.psmdcp" Id="R8e0310cf180e4a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Diskriminierung im Namen der  Anti-[...]Diskriminierung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Brief des Presseclubs Schweiz wurden die Bundesräte, alle National- und Ständeräte und alle Bundesrichter um Aufhebung von Art. 261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Brief des Presseclubs Schweiz wurden die Bundesräte, alle National- und Ständeräte und alle Bundesrichter um Aufhebung von Art. 261 bis StGB und 171c MStG (Militärstrafgesetz) gebeten. Begründet wird das Ersuchen damit, dass die Antirassismus-Strafnorm nur mittels Betrug und einer medial inszenierten Irreführung des Stimmvolkes zustande gekommen sei. Es fand eine regelrechte Medien-Schlammschlacht gegen das Referendumskomitee (Aktion für freie Meinungsäußerung) statt. Von wüsten Rassisten und Fremdenhassern war da plötzlich die Rede. Auf einem Flugblatt des Pro-Komitees „Ja zum Antirassismus-Gesetz“ wurden drei Jungpolitiker der FDP, SVP und CVP, die öffentlich gegen das Gesetz Stellung bezogen hatten, sogar Volksverhetzern und Neonazis gleichgesetzt.</w:t>
        <w:br/>
        <w:t xml:space="preserve">Was ist das anderes als eine Diskriminierung von politisch Andersdenkenden? Und vielerlei mehr geschieht gerade ungestraft im Namen der Anti-Diskriminierung! Da das Antirassismus-Gesetz mit nur 54,79 % Ja-Stimmen angenommen wurde, stellt sich dem kritischen Beobachter die Frage: „Welche Kreise setzten alle Hebel in Bewegung, dass solch ein Gesetz nicht mit absoluter Mehrheit abgelehnt wurde?“.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RECHT+FREIHEIT Nr. 4/Juli 2012, Vollständiger Brief zu beziehen bei: Presseclub Schweiz, Postfach 105, 4008 Basel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Diskriminierung im Namen der  Anti-[...]Diskriminierung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Diskriminierung im Namen der  Anti-[...]Diskriminierung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