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6d9feac7dd4e62" /><Relationship Type="http://schemas.openxmlformats.org/package/2006/relationships/metadata/core-properties" Target="/package/services/metadata/core-properties/bcc2e1675ba84e35ba70fe77618d3ec4.psmdcp" Id="Rdbc7a422622f4b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Basel III, eine weitere Fessel für den Mittelstand?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besonders eilbedürftiges Gesetzesvorhaben hat die Deutsche Bundesregierung am 22.8.2012 das über 1.000 Seiten umfassende Regelwerk Basel III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Als besonders eilbedürftiges</w:t>
        <w:br/>
        <w:t xml:space="preserve">Gesetzesvorhaben hat die Deutsche</w:t>
        <w:br/>
        <w:t xml:space="preserve">Bundesregierung am</w:t>
        <w:br/>
        <w:t xml:space="preserve">22.8.2012 das über 1.000 Seiten</w:t>
        <w:br/>
        <w:t xml:space="preserve">umfassende Regelwerk Basel III</w:t>
        <w:br/>
        <w:t xml:space="preserve">verabschiedet. Was auf den ersten</w:t>
        <w:br/>
        <w:t xml:space="preserve">Blick zur Eigenkapitalsicherung</w:t>
        <w:br/>
        <w:t xml:space="preserve">der Kreditinstitute und</w:t>
        <w:br/>
        <w:t xml:space="preserve">damit als weiterer Schutz vor</w:t>
        <w:br/>
        <w:t xml:space="preserve">möglichen Bankenpleiten gedacht</w:t>
        <w:br/>
        <w:t xml:space="preserve">ist, zeigt sein wahres Gesicht</w:t>
        <w:br/>
        <w:t xml:space="preserve">erst bei genauerem Hinsehen:</w:t>
        <w:br/>
        <w:t xml:space="preserve">Durch die schärferen</w:t>
        <w:br/>
        <w:t xml:space="preserve">Kapital- und Liquiditätsvorschriften</w:t>
        <w:br/>
        <w:t xml:space="preserve">wird es zunehmend</w:t>
        <w:br/>
        <w:t xml:space="preserve">schwieriger, Kredite zu bekommen.</w:t>
        <w:br/>
        <w:t xml:space="preserve">Besonders betroffen ist der</w:t>
        <w:br/>
        <w:t xml:space="preserve">Mittelstand. Gerade Selbständige</w:t>
        <w:br/>
        <w:t xml:space="preserve">können diese hohen Ansprüche</w:t>
        <w:br/>
        <w:t xml:space="preserve">kaum erfüllen. Einzig die Eintragung</w:t>
        <w:br/>
        <w:t xml:space="preserve">einer Grundschuld auf reale</w:t>
        <w:br/>
        <w:t xml:space="preserve">Güter, wie z.B. Grundstücke, Immobilien</w:t>
        <w:br/>
        <w:t xml:space="preserve">etc., ermöglicht es, Kredite</w:t>
        <w:br/>
        <w:t xml:space="preserve">zu erhalten. Damit wird weiter</w:t>
        <w:br/>
        <w:t xml:space="preserve">versucht, mit erschaffenem</w:t>
        <w:br/>
        <w:t xml:space="preserve">Kreditgeld an die realen Werte</w:t>
        <w:br/>
        <w:t xml:space="preserve">der Menschen zu gelangen. Zudem</w:t>
        <w:br/>
        <w:t xml:space="preserve">werden mit diesem Instrument</w:t>
        <w:br/>
        <w:t xml:space="preserve">auch weitere Investitionen</w:t>
        <w:br/>
        <w:t xml:space="preserve">in die reale Wirtschaft verhindert.</w:t>
        <w:br/>
        <w:t xml:space="preserve">Gerade neue Entwicklungen und</w:t>
        <w:br/>
        <w:t xml:space="preserve">Innovationen können dann kaum</w:t>
        <w:br/>
        <w:t xml:space="preserve">noch finanziert werden, da es fast</w:t>
        <w:br/>
        <w:t xml:space="preserve">unmöglich wird, Risikokapital zu</w:t>
        <w:br/>
        <w:t xml:space="preserve">bekommen. Viele gute Ideen bleiben</w:t>
        <w:br/>
        <w:t xml:space="preserve">dann in der Schublade. Die</w:t>
        <w:br/>
        <w:t xml:space="preserve">Großkonzerne werden immer</w:t>
        <w:br/>
        <w:t xml:space="preserve">größer und die kleinen Betriebe</w:t>
        <w:br/>
        <w:t xml:space="preserve">immer weniger.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Gespräche mit Handwerkern und Selbständigen </w:t>
        <w:rPr>
          <w:sz w:val="18"/>
        </w:rPr>
      </w:r>
      <w:hyperlink w:history="true" r:id="rId21">
        <w:r w:rsidRPr="00F24C6F">
          <w:rPr>
            <w:rStyle w:val="Hyperlink"/>
          </w:rPr>
          <w:rPr>
            <w:sz w:val="18"/>
          </w:rPr>
          <w:t>http://www.fpmi.de/positionen-details/items/fpmi-legt-gutachten-zu-solvency-ii-und-basel-iii-vor.html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Basel III, eine weitere Fessel für den Mittelstand?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www.kla.tv/2323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pmi.de/positionen-details/items/fpmi-legt-gutachten-zu-solvency-ii-und-basel-iii-vor.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Basel III, eine weitere Fessel für den Mittelstand?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