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29fefb22ee4f37" /><Relationship Type="http://schemas.openxmlformats.org/package/2006/relationships/metadata/core-properties" Target="/package/services/metadata/core-properties/ccec6cdaae7f414699ffa4568d974b7b.psmdcp" Id="Re21e40d67ab549d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Wahres politisches Mitspracherecht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Unter dem Vorwand, dass wir außerhalb einer EU-Mitgliedschaft keine Mitsprachemöglichkeit in der europäischen Politik haben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Unter dem Vorwand, dass</w:t>
        <w:br/>
        <w:t xml:space="preserve">wir außerhalb einer EU-Mitgliedschaft</w:t>
        <w:br/>
        <w:t xml:space="preserve">keine Mitsprachemöglichkeit</w:t>
        <w:br/>
        <w:t xml:space="preserve">in der europäischen Politik</w:t>
        <w:br/>
        <w:t xml:space="preserve">haben, werden wir zu einer immer</w:t>
        <w:br/>
        <w:t xml:space="preserve">nahtloseren Anpassung bis</w:t>
        <w:br/>
        <w:t xml:space="preserve">hin zum Eintritt in die EU gedrängt.</w:t>
        <w:br/>
        <w:t xml:space="preserve">In Wirklichkeit ist genau</w:t>
        <w:br/>
        <w:t xml:space="preserve">das Gegenteil der Fall: Während</w:t>
        <w:br/>
        <w:t xml:space="preserve">wir in der Schweiz mittels einer</w:t>
        <w:br/>
        <w:t xml:space="preserve">Initiative mit 100.000 oder eines</w:t>
        <w:br/>
        <w:t xml:space="preserve">Referendums mit 50.000 gültigen</w:t>
        <w:br/>
        <w:t xml:space="preserve">Unterschriften eine Volksabstimmung</w:t>
        <w:br/>
        <w:t xml:space="preserve">erwirken und somit politisch</w:t>
        <w:br/>
        <w:t xml:space="preserve">Einfluss nehmen können,</w:t>
        <w:br/>
        <w:t xml:space="preserve">gibt es in der EU kein annähernd</w:t>
        <w:br/>
        <w:t xml:space="preserve">gleiches Mitspracheinstrument.</w:t>
        <w:br/>
        <w:t xml:space="preserve">Die scheinbar ebenbürtige EUBürgerinitiative</w:t>
        <w:br/>
        <w:t xml:space="preserve">ist in keiner</w:t>
        <w:br/>
        <w:t xml:space="preserve">Weise vergleichbar mit einer</w:t>
        <w:br/>
        <w:t xml:space="preserve">Schweizer Volksinitiative. Die</w:t>
        <w:br/>
        <w:t xml:space="preserve">aufwändige Prozedur von einer</w:t>
        <w:br/>
        <w:t xml:space="preserve">Million (!) Unterschriften, die aus</w:t>
        <w:br/>
        <w:t xml:space="preserve">mindestens sieben verschiedenen</w:t>
        <w:br/>
        <w:t xml:space="preserve">EU-Ländern kommen müssen,</w:t>
        <w:br/>
        <w:t xml:space="preserve">hat nämlich keinerlei bindende</w:t>
        <w:br/>
        <w:t xml:space="preserve">Wirkung. Die EU-Kommission</w:t>
        <w:br/>
        <w:t xml:space="preserve">ist lediglich verpflichtet, das Anliegen</w:t>
        <w:br/>
        <w:t xml:space="preserve">anzuhören; nicht aber darauf</w:t>
        <w:br/>
        <w:t xml:space="preserve">einzutreten. Dies entspricht in</w:t>
        <w:br/>
        <w:t xml:space="preserve">der Schweiz lediglich einer Petition.</w:t>
        <w:br/>
        <w:t xml:space="preserve">Wollten wir als EU-Schweizer</w:t>
        <w:br/>
        <w:t xml:space="preserve">z.B. die Durchsetzung der</w:t>
        <w:br/>
        <w:t xml:space="preserve">Ausschaffungsinitiative erreichen,</w:t>
        <w:br/>
        <w:t xml:space="preserve">müssten wir zuerst sechs gleichgesinnte</w:t>
        <w:br/>
        <w:t xml:space="preserve">Länder finden und Unterschriften</w:t>
        <w:br/>
        <w:t xml:space="preserve">sammeln bis zum Gehtnichtmehr,</w:t>
        <w:br/>
        <w:t xml:space="preserve">um letzten Endes</w:t>
        <w:br/>
        <w:t xml:space="preserve">nicht einmal beachtet zu werden.</w:t>
        <w:br/>
        <w:t xml:space="preserve">Darum: Finger weg von der Abtretung</w:t>
        <w:br/>
        <w:t xml:space="preserve">wahrer politischer Mitspracherechte</w:t>
        <w:br/>
        <w:t xml:space="preserve">durch einen schleichenden</w:t>
        <w:br/>
        <w:t xml:space="preserve">EU-Beitritt!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juh.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http://ec.europa.eu/citizens-initiative/public/basic-facts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Wahres politisches Mitspracherecht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www.kla.tv/2199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c.europa.eu/citizens-initiative/public/basic-fact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Wahres politisches Mitspracherecht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