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6e5fa1f4924d70" /><Relationship Type="http://schemas.openxmlformats.org/package/2006/relationships/metadata/core-properties" Target="/package/services/metadata/core-properties/afadf4883cb64144942315c7ab2fc6fc.psmdcp" Id="Rcf1212096ddc4a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Schädlichkeit von Medikamenten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Bruno Toussaint, Herausgeber der französischen Zeitschrift „prescrire“, legt dar, dass laut einer amerikanischen Studie die Zahl der Todesopfer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Bruno Toussaint, Herausgeber</w:t>
        <w:br/>
        <w:t xml:space="preserve">der französischen Zeitschrift</w:t>
        <w:br/>
        <w:t xml:space="preserve">„prescrire“, legt dar,</w:t>
        <w:br/>
        <w:t xml:space="preserve">dass laut einer amerikanischen</w:t>
        <w:br/>
        <w:t xml:space="preserve">Studie die Zahl der Todesopfer</w:t>
        <w:br/>
        <w:t xml:space="preserve">aufgrund der Einnahme von</w:t>
        <w:br/>
        <w:t xml:space="preserve">Medikamenten die der Verkehrstoten</w:t>
        <w:br/>
        <w:t xml:space="preserve">weit übertrifft. Allein</w:t>
        <w:br/>
        <w:t xml:space="preserve">in Frankreich sterben jährlich</w:t>
        <w:br/>
        <w:t xml:space="preserve">20.000 Menschen infolge</w:t>
        <w:br/>
        <w:t xml:space="preserve">der Nebenwirkungen von Arzneimitteln.</w:t>
        <w:br/>
        <w:t xml:space="preserve">Und 5% aller Patienten</w:t>
        <w:br/>
        <w:t xml:space="preserve">werden wegen (und nicht</w:t>
        <w:br/>
        <w:t xml:space="preserve">trotz!) eines Medikaments ins</w:t>
        <w:br/>
        <w:t xml:space="preserve">Krankenhaus eingeliefert.</w:t>
        <w:br/>
        <w:t xml:space="preserve">Verkehrsteilnehmer können aufatmen:</w:t>
        <w:br/>
        <w:t xml:space="preserve">Die Einnahme von Arzneimitteln</w:t>
        <w:br/>
        <w:t xml:space="preserve">ist wesentlicher gefährlicher</w:t>
        <w:br/>
        <w:t xml:space="preserve">als Autofahren!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Schädlichkeit von Medikamenten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Schädlichkeit von Medikamenten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