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7be1cc207d4a53" /><Relationship Type="http://schemas.openxmlformats.org/package/2006/relationships/metadata/core-properties" Target="/package/services/metadata/core-properties/c683103e15c540a9aff2b938293537fc.psmdcp" Id="R63b725a9d5a642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Cep telefonuna bağlı ölümcül beyin tümörlerinde (glioblastomalar) endişe verici artış</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28 Ekim 2018 tarihli bir makalede, Prof. Franz Adlkofer (Münih'teki Max-Planck Biyokimya Enstitüsü'nden araştırmacı) cep telefonu radyasyonunun glioblastomların sayısını artırdığı sonucuna vardı. Yalnızca İngiltere'de, glioblastomların sayısı mobil telefonun kullanılmaya başlanmasından bu yana geçen on yılda neredeyse iki katına çıktı.</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Cep telefonuna bağlı ölümcül beyin tümörlerinde (glioblastomalar) endişe verici artış</w:t>
        <w:br/>
        <w:t xml:space="preserve">28 Ekim 2018 tarihli bir makalede, Prof. Franz Adlkofer (Münih'teki Max-Planck Biyokimya Enstitüsü'nden araştırmacı) cep telefonu radyasyonunun glioblastomların sayısını artırdığı sonucuna vardı. Yalnızca İngiltere'de, glioblastomların sayısı mobil telefonun kullanılmaya başlanmasından bu yana geçen on yılda neredeyse iki katına çıktı.</w:t>
        <w:br/>
        <w:t xml:space="preserve">Bugün bile, cep telefonu endüstrisi ve siyaseti, bilimsel olarak sorgulanabilir sınırlara saygı duyarak, bağımsız bilim adamlarının sonuçlarını görmezden geliyor. Ancak özel bir dernek olan ICNIRP'in  geçmişte bu sınırları tamamen keyfi bir şekilde belirlediği tartışılmazdır. Sektör ve yetkililer, cep telefonunun sağlık risklerine ilişkin kamuoyundaki tartışmaların gittikçe yavaşlayacağını umuyorlar.</w:t>
        <w:br/>
        <w:t xml:space="preserve">Halkın temsilcileri bu nedenle gerçeği söyleme konusunda daha fazla cesaret göstermelidir, çünkü yalnızca dürüst bilgi vatandaşların doğru kararları vermesine ve uygun önlemleri almasına izin verir.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sf./gr.'dan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https://www.gigaherz.ch/verdoppelung-des-boesartigsten-hirntumors/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Cep telefonuna bağlı ölümcül beyin tümörlerinde (glioblastomalar) endişe verici artış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www.kla.tv/18142</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15.02.2021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igaherz.ch/verdoppelung-des-boesartigsten-hirntumor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42"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Cep telefonuna bağlı ölümcül beyin tümörlerinde (glioblastomalar) endişe verici artış</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