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9c93ba9cbd24835" /><Relationship Type="http://schemas.openxmlformats.org/package/2006/relationships/metadata/core-properties" Target="/package/services/metadata/core-properties/b711293e75d44a3ba1e431fb72d5e2f2.psmdcp" Id="Rd35d9829ce5747f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Thürer Gutachten am Volk vorbei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Auftrag des Bundesrates
erstellte der Zürcher Staatsrechtsprofessor
Daniel Thürer
2011 ein „Gutachten über mögliche Formen der Umsetzung und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Auftrag des Bundesrates</w:t>
        <w:br/>
        <w:t xml:space="preserve">erstellte der Zürcher Staatsrechtsprofessor</w:t>
        <w:br/>
        <w:t xml:space="preserve">Daniel Thürer</w:t>
        <w:br/>
        <w:t xml:space="preserve">2011 ein „Gutachten über mögliche Formen der Umsetzung und</w:t>
        <w:br/>
        <w:t xml:space="preserve">Anwendung der bilateralen Abkommen“</w:t>
        <w:br/>
        <w:t xml:space="preserve">zwischen der Schweiz</w:t>
        <w:br/>
        <w:t xml:space="preserve">und der Europäischen Union.</w:t>
        <w:br/>
        <w:t xml:space="preserve">In dem Gutachten werden drei</w:t>
        <w:br/>
        <w:t xml:space="preserve">Möglichkeiten aufgeführt, wie</w:t>
        <w:br/>
        <w:t xml:space="preserve">die Schweiz, ohne den Volkswillen</w:t>
        <w:br/>
        <w:t xml:space="preserve">zu erfragen, in Zusammenarbeit</w:t>
        <w:br/>
        <w:t xml:space="preserve">mit dem Europäischen Gerichtshof</w:t>
        <w:br/>
        <w:t xml:space="preserve">(EuGH) einen „automatischen“</w:t>
        <w:br/>
        <w:t xml:space="preserve">EU-Beitritt erzwingen</w:t>
        <w:br/>
        <w:t xml:space="preserve">kann. Das Dokument legt</w:t>
        <w:br/>
        <w:t xml:space="preserve">dem Bundesrat eine Handlungsanweisung</w:t>
        <w:br/>
        <w:t xml:space="preserve">vor, die den Weg zur</w:t>
        <w:br/>
        <w:t xml:space="preserve">Übernahme des gesamten EURechts</w:t>
        <w:br/>
        <w:t xml:space="preserve">durch die Schweiz ohne</w:t>
        <w:br/>
        <w:t xml:space="preserve">Volksabstimmung öffnet.</w:t>
        <w:br/>
        <w:t xml:space="preserve">Im Kern geht es darum, eine</w:t>
        <w:br/>
        <w:t xml:space="preserve">„Umsetzungsstelle“ zu schaffen,</w:t>
        <w:br/>
        <w:t xml:space="preserve">welche die Kompetenz hat, neue</w:t>
        <w:br/>
        <w:t xml:space="preserve">Entscheidungen und Praxisänderungen</w:t>
        <w:br/>
        <w:t xml:space="preserve">selbständig anzuordnen –</w:t>
        <w:br/>
        <w:t xml:space="preserve">an Parlament und Volk vorbei.</w:t>
        <w:br/>
        <w:t xml:space="preserve">Obwohl sich die Schweizer</w:t>
        <w:br/>
        <w:t xml:space="preserve">Bevölkerung 2001 mit 76.8 %</w:t>
        <w:br/>
        <w:t xml:space="preserve">Nein-Stimmen klar gegen die</w:t>
        <w:br/>
        <w:t xml:space="preserve">Volksinitiative „Ja zu Europa“</w:t>
        <w:br/>
        <w:t xml:space="preserve">ausgesprochen hatte, werden</w:t>
        <w:br/>
        <w:t xml:space="preserve">nun also sämtliche Hebel in Bewegung</w:t>
        <w:br/>
        <w:t xml:space="preserve">gesetzt, die Schweiz</w:t>
        <w:br/>
        <w:t xml:space="preserve">durch verborgene List vollumfänglich</w:t>
        <w:br/>
        <w:t xml:space="preserve">der EU und deren Gewalt</w:t>
        <w:br/>
        <w:t xml:space="preserve">zu unterwerfen!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lb.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http://www.europa.admin.ch/themen/00499/00503/01777/index.html?lang=de</w:t>
        </w:r>
      </w:hyperlink>
      <w:hyperlink w:history="true" r:id="rId22">
        <w:r w:rsidRPr="00F24C6F">
          <w:rPr>
            <w:rStyle w:val="Hyperlink"/>
          </w:rPr>
          <w:rPr>
            <w:sz w:val="18"/>
          </w:rPr>
          <w:t>http://www.schweizerzeit.ch/cms/index.php?page=/News/EUBeitritt_via_Hintertreppe-859</w:t>
        </w:r>
      </w:hyperlink>
      <w:hyperlink w:history="true" r:id="rId23">
        <w:r w:rsidRPr="00F24C6F">
          <w:rPr>
            <w:rStyle w:val="Hyperlink"/>
          </w:rPr>
          <w:rPr>
            <w:sz w:val="18"/>
          </w:rPr>
          <w:t>https://de.wikipedia.org/wiki/Eidgenössische_Volksinitiative_«Ja_zu_Europa»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Thürer Gutachten am Volk vorbei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www.kla.tv/1766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24.10.2013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europa.admin.ch/themen/00499/00503/01777/index.html?lang=de" TargetMode="External" Id="rId21" /><Relationship Type="http://schemas.openxmlformats.org/officeDocument/2006/relationships/hyperlink" Target="http://www.schweizerzeit.ch/cms/index.php?page=/News/EUBeitritt_via_Hintertreppe-859" TargetMode="External" Id="rId22" /><Relationship Type="http://schemas.openxmlformats.org/officeDocument/2006/relationships/hyperlink" Target="https://de.wikipedia.org/wiki/Eidgen&#246;ssische_Volksinitiative_&#171;Ja_zu_Europa&#187;"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6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Thürer Gutachten am Volk vorbei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