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2d641a0c664c86" /><Relationship Type="http://schemas.openxmlformats.org/package/2006/relationships/metadata/core-properties" Target="/package/services/metadata/core-properties/b5ea61cd75224ba2adef26feac872d6f.psmdcp" Id="Rc0d94d4126b44f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Pleiten gehen weiter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Griechenland ist pleite und ist wiederum zahlungsunfähig, obwohl es 237 Milliarden Euro EU-Zusagen und bereits 210 Milliarden Euro Zahlungen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Griechenland ist pleite und ist wiederum zahlungsunfähig, obwohl es 237 Milliarden Euro</w:t>
        <w:br/>
        <w:t xml:space="preserve">EU-Zusagen und bereits 210 Milliarden Euro Zahlungen – davon 50 Milliarden Euro von Deutschland</w:t>
        <w:br/>
        <w:t xml:space="preserve">– bekommen hat. Diese Zahlungen sind aber erklärterweise nicht den Griechen zugutegekommen,</w:t>
        <w:br/>
        <w:t xml:space="preserve">sondern den französischen und amerikanischen Gläubigerbanken für ausstehende Zinsforderungen weitergereicht worden, damit ausbleibende Zinsen nicht die Zahlungsunfähigkeit Griechenlands dokumentieren und den Schuldenschnitt erzwingen. Den Griechen ist also bisher nicht geholfen worden, sondern den Banken, die Griechenland in die Schulden getrieben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Originalartikel von Prof. Dr. Eberhard Hamer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Pleiten gehen weiter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Pleiten gehen weiter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