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3914f13e4cb4c52" /><Relationship Type="http://schemas.openxmlformats.org/package/2006/relationships/metadata/core-properties" Target="/package/services/metadata/core-properties/ed7e8bb018bd482a9b5113587d90e416.psmdcp" Id="R2d8877bc532c4f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Komerco de la timo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Kiel timo povas influi nian farton ? Spektu ĉi tiun etan bildrakonton pri bestoj, kiu ilustras la temon amuze kaj pensige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Regas granda ekscito en la arbaro, murmurego rondiras : La urso havas liston de la mortontoj.</w:t>
        <w:br/>
        <w:t xml:space="preserve">« Pardonu, ĉu mia nomo troviĝas en tiu listo?»</w:t>
        <w:br/>
        <w:t xml:space="preserve">« Jes, jen via nomo. »</w:t>
        <w:br/>
        <w:t xml:space="preserve">La cervo ekpleniĝas je timo kaj teroro, kaj post du tagoj oni trovas lin – mortinta.  Paniko disetendiĝas inter la bestoj de la arbaro.</w:t>
        <w:br/>
        <w:t xml:space="preserve">« Ĉu ankaù mi en la listo ? »</w:t>
        <w:br/>
        <w:t xml:space="preserve">« Jes estas ankaŭ via nomo ĉi tie. »</w:t>
        <w:br/>
        <w:t xml:space="preserve">Por la apro, estas kvazaŭ ponardaĵo en la koron. Post du tagoj, li estas mortinta. La bestoj de la arbaro estas senesperaj.</w:t>
        <w:br/>
        <w:t xml:space="preserve">Nur senzorga kunikleto aŭdacas iri al la urso.</w:t>
        <w:br/>
        <w:t xml:space="preserve">« Ĉu ankaŭ mi kuŝas en via listo ? »</w:t>
        <w:br/>
        <w:t xml:space="preserve">« Jes, ankaŭ vi ! »</w:t>
        <w:br/>
        <w:t xml:space="preserve">« Nu, ĉu vi povus forstreki min el la listo ? »</w:t>
        <w:br/>
        <w:t xml:space="preserve">« Jes ja, tute certe ! Ne estas problemo.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js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http://www.anti-zensur.info/azkmediacenter.php?mediacenter=conference&amp;topic=10&amp;id=155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#Kronaviruso - </w:t>
      </w:r>
      <w:hyperlink w:history="true" r:id="rId22">
        <w:r w:rsidRPr="00F24C6F">
          <w:rPr>
            <w:rStyle w:val="Hyperlink"/>
          </w:rPr>
          <w:t>www.kla.tv/Kronaviruso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Komerco de la timo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www.kla.tv/16161</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18.04.2020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mediacenter.php?mediacenter=conference&amp;topic=10&amp;id=155" TargetMode="External" Id="rId21" /><Relationship Type="http://schemas.openxmlformats.org/officeDocument/2006/relationships/hyperlink" Target="https://www.kla.tv/Kronaviruso"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61"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Komerco de la timo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