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8d296919d64c70" /><Relationship Type="http://schemas.openxmlformats.org/package/2006/relationships/metadata/core-properties" Target="/package/services/metadata/core-properties/ee44fe422c6745a8bf16647eba587a1b.psmdcp" Id="R85a76c7cb70547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région de Salzbourg étudie les plaintes contre la pollution électromagnétique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Avec ses recherches sur les plaintes contre la pollution électromagnétique, la province de Salzbourg assume la responsabilité de la santé de ses citoyens et montre ainsi la voie à suivre pour de nombreux autres pays.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À l’aide d’un formulaire de déclaration destiné à la population sur la pollution électromagnétique, le gouvernement de la région de Salzbourg étudie le lien entre divers problèmes de santé et l’exposition à la téléphonie mobile, aux téléphones fixes sans fil, aux ordinateurs et autres appareils électriques et installations électriques. Il est réjouissant de constater qu’en Autriche, les politiciens prennent au sérieux la santé de la population et examinent les effets de la pollution électromagnétique. Il serait souhaitable que les politiciens d’autres pays assument une responsabilité égale à l’égard des personnes qui les ont élus et qui les font vivre.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dbr./mar.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www.salzburg.gv.at/Seiten/Search.aspx?k=elektrosmog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2">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région de Salzbourg étudie les plaintes contre la pollution électromagnétique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zburg.gv.at/Seiten/Search.aspx?k=elektrosmog" TargetMode="External" Id="rId21" /><Relationship Type="http://schemas.openxmlformats.org/officeDocument/2006/relationships/hyperlink" Target="https://www.kla.tv/5G-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région de Salzbourg étudie les plaintes contre la pollution électromagnétique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