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b4a26238464d32" /><Relationship Type="http://schemas.openxmlformats.org/package/2006/relationships/metadata/core-properties" Target="/package/services/metadata/core-properties/90fd498254da4e70ac9503c2c127b70f.psmdcp" Id="Rae23638b5f6948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napalm brûle des civils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Etats-Unis aiment se présenter comme la « police mondiale » pour le respect du droit international et des droits de l'homme. Mais comment cette image s'intègre-t-elle dans l'utilisation inhumaine de bombes incendiaires au napalm contre des civils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Napalm, arme incendiaire, produit des températures allant jusqu'à 2 000°C en fonction de sa composition. Les bombes au napalm ont déjà été utilisées contre des civils par les Alliés en Europe et au Japon pendant la Seconde Guerre mondiale, puis par les Etats-Unis pendant les guerres de Corée et du Vietnam, par la France pendant la guerre d'Indochine, par la Grande-Bretagne au Kenya et par Israël en Egypte. Et par  cela d'innombrables personnes ont été brûlées vives ! En 1980, l'utilisation de bombes incendiaires contre des civils a été interdite par l'ONU. Toutefois, cela n'a pas empêché les États-Unis d'utiliser le napalm et des substances similaires pendant la deuxième guerre du Golfe en 1990-91, pendant la guerre en Irak en 2003, ainsi qu’en Afghanistan.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https://de.wikipedia.org/wiki/Napalm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napalm brûle des civils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www.kla.tv/13795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Napal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9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napalm brûle des civils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