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4709afbbd84d24" /><Relationship Type="http://schemas.openxmlformats.org/package/2006/relationships/metadata/core-properties" Target="/package/services/metadata/core-properties/bec6733cb818479bb065e07cfb82f024.psmdcp" Id="R4be30b6b0e4645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Bermudes abolissent le « mariage pour tous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territoire britannique d'outre-mer des Bermudes abolit le « mariage pour tous » et continue de protéger les droits des couples homosexuels. Voyez comment c'est arrivé.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Bermudes sont le premier territoire britannique d’outre-mer qui supprime le « mariage pour tous ». Lors d’un vote populaire en juin 2016, plus des deux tiers de la population s’est prononcée contre le mariage homosexuel. Les mariages homosexuels déjà conclus restent valides. Walton Brown, le ministre de l’Intérieur des Bermudes, a déclaré : « Avec cette nouvelle loi nous voulons créer une compensation équilibrée entre deux partis inconciliables aux Bermudes. Nous constatons que le mariage n’est possible qu’entre un homme et une femme et nous protégeons en même temps les droits des couples homosexuels. »</w:t>
        <w:br/>
        <w:t xml:space="preserve">Que décideraient les autres régions du monde si elles avaient la possibilité de se prononcer par un vote populaire sur le « mariage pour tous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https://francais.rt.com/international/46494-bermudes-reviennent-sur-autorisation-mariage-homosexuel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Bermudes abolissent le « mariage pour tous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www.kla.tv/13405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rancais.rt.com/international/46494-bermudes-reviennent-sur-autorisation-mariage-homosexue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0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Bermudes abolissent le « mariage pour tous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