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fd3fa8bd954411" /><Relationship Type="http://schemas.openxmlformats.org/package/2006/relationships/metadata/core-properties" Target="/package/services/metadata/core-properties/b1f7327c7ead4b85a21a9c80862b2cd2.psmdcp" Id="Rf2dbbc322fdf4ac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Datenschutzgrundverordnung für Großkonzerne nicht relevant?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durch die neue Datenschutzverordnung mittelständische Unternehmen zur Verzweiflung gebracht werden, setzen Großkonzerne ihren Kunden die Pistole auf die Brust, um die neuen EU-Datenschutzregeln gewinnbringend für sich auszunutzen, indem sie zusätzliche Nutzerdaten abgreifen.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am 25.5.18 in Kraft getretene EU-Datenschutzgrundverordnung (DSGVO) bringt mittelständische</w:t>
        <w:br/>
        <w:t xml:space="preserve">Unternehmen zur Verzweiflung, da bei Verstößen bis zu 20 Mill. Euro Buße fällig werden. Dem entgegen setzen manche Großkonzerne dem Nutzer dreist die Pistole an die Brust und holen sich die Generalerlaubnis („einmal die Erlaubnis für alles bitte – oder lass es bleiben“).</w:t>
        <w:br/>
        <w:t xml:space="preserve">Damit nutzen sie die neuen EU Datenschutzregeln gewinnbringend für sich und greifen noch</w:t>
        <w:br/>
        <w:t xml:space="preserve">mehr Nutzerdaten ab. So hat Facebook im Zuge der Einführung eigener „neuer Datenschutzmaßnahmen“ die in Europa umstrittene automatische Gesichtserkennung bei Fotos gestartet. Der Mobilfunkanbieter O2/Telefonica informiert seine Kunden lediglich darüber, dass er künftig „bestimmte Bestandsdaten“ aufgrund der DSGVO-Klausel „berechtigtes Interesse (des Anbieters)“ für sich nutzen werde. Doch stopp, wo bleibt da noch der vielgepriesene Schutz der Kunden?!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https://netzpolitik.org/2018/datenschutz-einmal-die-einwilligung-fuer-alles-bitte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#DSGVO - – Die Datenschutz-Grundverordnung - </w:t>
      </w:r>
      <w:hyperlink w:history="true" r:id="rId22">
        <w:r w:rsidRPr="00F24C6F">
          <w:rPr>
            <w:rStyle w:val="Hyperlink"/>
          </w:rPr>
          <w:t>www.kla.tv/DSGVO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Datenschutzgrundverordnung für Großkonzerne nicht relevant?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etzpolitik.org/2018/datenschutz-einmal-die-einwilligung-fuer-alles-bitte" TargetMode="External" Id="rId21" /><Relationship Type="http://schemas.openxmlformats.org/officeDocument/2006/relationships/hyperlink" Target="https://www.kla.tv/DSGVO"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Datenschutzgrundverordnung für Großkonzerne nicht relevant?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