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5624b1aa765439c" /><Relationship Type="http://schemas.openxmlformats.org/package/2006/relationships/metadata/core-properties" Target="/package/services/metadata/core-properties/cd74b9b96a0a4c7e989885e31a999141.psmdcp" Id="Rd45b244df10e474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L’Ecuador blocca Wikileaks sotto pressione degli USA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Il governo ecuadoriano a metà ottobre 2016 ha sospeso l’accesso a internet del fondatore di Wikileaks Assange nell’ambasciata ecuadoriana di Londra con la dichiarazione di non voler  interferire nei processi elettorali di altri paesi.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L’Ecuador a metà ottobre 2016 ha sospeso l’accesso a internet di Assange, fondatore di Wikileaks*, nell’ambasciata ecuadoriana di Londra. Dal 2012 gli viene concesso asilo in quell’ambasciata. Così Assange non ha più la possibilità di caricare ulteriori rivelazioni sulle e-mail hackerate della Clinton sul server di Wikileaks, le quali mostrano il vero carattere di Hillary Clinton. Prendendo posizione per lei, il governo ecuadoriano ha dichiarato che non intendeva interferire nei processi elettorali di altri paesi. Ma il blocco dell’accesso di Assange a WikiLeaks e la conseguente restrizione delle informazioni sui candidati presidenziali americani non sono proprio queste un’interferenza nella campagna elettorale statunitense?</w:t>
        <w:br/>
        <w:t xml:space="preserve"/>
        <w:br/>
        <w:t xml:space="preserve">*un portale di rivelazione su internet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pa.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www.wsws.org/de/articles/2016/10/20/pers-o20.html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L’Ecuador blocca Wikileaks sotto pressione degli USA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www.kla.tv/12697</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16.07.2018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sws.org/de/articles/2016/10/20/pers-o20.html"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697"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69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L’Ecuador blocca Wikileaks sotto pressione degli USA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