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98bf861ce64ef3" /><Relationship Type="http://schemas.openxmlformats.org/package/2006/relationships/metadata/core-properties" Target="/package/services/metadata/core-properties/990e674ff38c4083af8e44a268e705f8.psmdcp" Id="R129752a0759742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objectifs commerciaux empêchent le journalisme libre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quelle mesure les journalistes sont-ils réellement des reporters indépendants ? Les groupes d'éditions tels que le groupe allemand « Springer » ont parfois des clauses dans leurs contrats de travail qui rendent impossible l'établissement de rapports objectifs. Est-ce juste une coïncidence lorsque vous n'obtenez pas de rapports critiques sur certains sujets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groupe d'entreprises de l’éditeur allemand « Springer » (le journal Bild et autres) s'est fixé divers objectifs d'entreprise afin d'empêcher ses employés de rédiger des rapports indépendants. Le contrat de travail des employés stipule notamment que l'alliance transatlantique doit être soutenue et que la « solidarité dans la communauté de valeurs libérale avec les États-Unis d'Amérique » doit être respectée.</w:t>
        <w:br/>
        <w:t xml:space="preserve">Nous ne pouvons plus parler de journalisme neutre et de la liberté de la presse dont on fait tant l'éloge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leo.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www.neopresse.com/medien/springer-presse-solidaritaet-mitden-vereinigten-staaten-von-amerika/</w:t>
        </w:r>
      </w:hyperlink>
      <w:r w:rsidR="0026191C">
        <w:rPr/>
        <w:br/>
      </w:r>
      <w:hyperlink w:history="true" r:id="rId22">
        <w:r w:rsidRPr="00F24C6F">
          <w:rPr>
            <w:rStyle w:val="Hyperlink"/>
          </w:rPr>
          <w:rPr>
            <w:sz w:val="18"/>
          </w:rPr>
          <w:t>http://nachhaltigkeit.axelspringer.de/de/grundsaetze/unternehmensgrundsaetze.html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objectifs commerciaux empêchent le journalisme libre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opresse.com/medien/springer-presse-solidaritaet-mitden-vereinigten-staaten-von-amerika/" TargetMode="External" Id="rId21" /><Relationship Type="http://schemas.openxmlformats.org/officeDocument/2006/relationships/hyperlink" Target="http://nachhaltigkeit.axelspringer.de/de/grundsaetze/unternehmensgrundsaetze.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objectifs commerciaux empêchent le journalisme libre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