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faf6616194b41c6" /><Relationship Type="http://schemas.openxmlformats.org/package/2006/relationships/metadata/core-properties" Target="/package/services/metadata/core-properties/f60f05c8a99747d6a0bee327a7f9eb7b.psmdcp" Id="R2d0823d462bd46f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Bravo Soldatenkönig!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25. Februar 1713 stand
der nachmalige preußische
„Soldatenkönig“ Friedrich Wilhelm
I. (1688-1740, seit 1713
König) am Sterbebett seines
Vaters...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25. Februar 1713 stand</w:t>
        <w:br/>
        <w:t xml:space="preserve">der nachmalige preußische</w:t>
        <w:br/>
        <w:t xml:space="preserve">„Soldatenkönig“ Friedrich Wilhelm</w:t>
        <w:br/>
        <w:t xml:space="preserve">I. (1688-1740, seit 1713</w:t>
        <w:br/>
        <w:t xml:space="preserve">König) am Sterbebett seines</w:t>
        <w:br/>
        <w:t xml:space="preserve">Vaters. Als der Tod des Königs</w:t>
        <w:br/>
        <w:t xml:space="preserve">Friedrich I. (1657-1713, seit</w:t>
        <w:br/>
        <w:t xml:space="preserve">1688 Kurfürst, seit 1701 König)</w:t>
        <w:br/>
        <w:t xml:space="preserve">im Vorsaal bekannt wurde,</w:t>
        <w:br/>
        <w:t xml:space="preserve">wo dichtgedrängt die Hofleute</w:t>
        <w:br/>
        <w:t xml:space="preserve">harrten, zeichnete sich in ihren</w:t>
        <w:br/>
        <w:t xml:space="preserve">Mienen mehr Furcht als Trauer</w:t>
        <w:br/>
        <w:t xml:space="preserve">ab, denn der Verstorbene liebte</w:t>
        <w:br/>
        <w:t xml:space="preserve">den Prunk und hinterließ eine</w:t>
        <w:br/>
        <w:t xml:space="preserve">große Staatsschuld, sein Sohn</w:t>
        <w:br/>
        <w:t xml:space="preserve">aber war entschlossen, den</w:t>
        <w:br/>
        <w:t xml:space="preserve">Staat durch Einfachheit gesund</w:t>
        <w:br/>
        <w:t xml:space="preserve">und stark zu machen. Der</w:t>
        <w:br/>
        <w:t xml:space="preserve">Thronfolger hatte – noch mit</w:t>
        <w:br/>
        <w:t xml:space="preserve">Tränen in den Augen – kaum</w:t>
        <w:br/>
        <w:t xml:space="preserve">das Sterbezimmer verlassen,</w:t>
        <w:br/>
        <w:t xml:space="preserve">als er vom Oberhofmarschall</w:t>
        <w:br/>
        <w:t xml:space="preserve">die Liste der Hofbeamten forderte</w:t>
        <w:br/>
        <w:t xml:space="preserve">und sie mit einem Federzug</w:t>
        <w:br/>
        <w:t xml:space="preserve">von Anfang bis Ende</w:t>
        <w:br/>
        <w:t xml:space="preserve">durchstrich. Dann diktierte der</w:t>
        <w:br/>
        <w:t xml:space="preserve">neue König seinen ersten</w:t>
        <w:br/>
        <w:t xml:space="preserve">schriftlichen Befehl. „Saget</w:t>
        <w:br/>
        <w:t xml:space="preserve">dem Fürsten Anhalt, dass ich</w:t>
        <w:br/>
        <w:t xml:space="preserve">selbst der Finanzminister und</w:t>
        <w:br/>
        <w:t xml:space="preserve">der Feldmarschall des Königs</w:t>
        <w:br/>
        <w:t xml:space="preserve">von Preußen bin; das wird den</w:t>
        <w:br/>
        <w:t xml:space="preserve">König von Preußen aufrecht</w:t>
        <w:br/>
        <w:t xml:space="preserve">halten.“</w:t>
        <w:br/>
        <w:t xml:space="preserve">Auf seinen Besichtigungsfahrten</w:t>
        <w:br/>
        <w:t xml:space="preserve">war der sparsame König</w:t>
        <w:br/>
        <w:t xml:space="preserve">dann zumeist nur von</w:t>
        <w:br/>
        <w:t xml:space="preserve">seinem Sekretär, seinem Kammerdiener</w:t>
        <w:br/>
        <w:t xml:space="preserve">Eversmann und dem</w:t>
        <w:br/>
        <w:t xml:space="preserve">Kutscher begleitet. Fast immer</w:t>
        <w:br/>
        <w:t xml:space="preserve">lud man sich beim Schulmeister</w:t>
        <w:br/>
        <w:t xml:space="preserve">des Dorfes zu Gast und</w:t>
        <w:br/>
        <w:t xml:space="preserve">schlief in der Scheune. Auf diese</w:t>
        <w:br/>
        <w:t xml:space="preserve">Art war es dem König möglich,</w:t>
        <w:br/>
        <w:t xml:space="preserve">der Königin einmal vorzurechnen,</w:t>
        <w:br/>
        <w:t xml:space="preserve">dass er auf der langen</w:t>
        <w:br/>
        <w:t xml:space="preserve">Reise von Königsberg in Ostpreußen</w:t>
        <w:br/>
        <w:t xml:space="preserve">nach Berlin nur sechs</w:t>
        <w:br/>
        <w:t xml:space="preserve">Taler ausgegeben hatte.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redaktion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Der Südafrika-Deutsche, Postfach 7174, 0001 Pretoria/Transvaal</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#DaN - Die anderen Nachrichten - </w:t>
      </w:r>
      <w:hyperlink w:history="true" r:id="rId21">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Bravo Soldatenkönig!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www.kla.tv/1152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22.06.2013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DaN"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5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5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Bravo Soldatenkönig!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