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baaa5d996242a3" /><Relationship Type="http://schemas.openxmlformats.org/package/2006/relationships/metadata/core-properties" Target="/package/services/metadata/core-properties/5acc7d77c0324bf688493685b0752571.psmdcp" Id="Rcdaa5608f43a4d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L’argent liquide « trop cher » doit conduire à une société sans argent liquide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y a 20 ans les Caisses d’Epargne allemandes ont prévu que dans leur réseau les clients pouvaient avoir la possibilité de retirer de l’argent sans payer de frais. 
Le site financier de biallo.de a examiné très minutieusement les frais des 400 Caisses d’Epargne allemandes.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y a 20 ans les Caisses d’Epargne allemandes ont prévu que dans leur réseau les clients pouvaient avoir la possibilité de retirer de l’argent sans payer de frais. </w:t>
        <w:br/>
        <w:t xml:space="preserve">Le site financier de biallo.de a examiné très minutieusement les frais des 400 Caisses d’Epargne allemandes.</w:t>
        <w:br/>
        <w:t xml:space="preserve">Le site a constaté que de plus en plus de Caisses d’Epargne ont tendance à faire payer chaque retrait d’argent à leurs propres guichets et distributeurs automatiques de billets. Stefan Genth, chef de l’union des commerçants indépendants a commenté cette nouvelle pratique des Caisses d’Epargne en disant : « La politique des prix des banques permet de conclure qu’elles voient l’approvisionnement en argent liquide comme une charge et qu’à long terme elles voudront y mettre fin. »</w:t>
        <w:br/>
        <w:t xml:space="preserve">Manifestement l’argent liquide doit être rendu si cher que la société sans argent liquide sera acceptée.</w:t>
        <w:br/>
        <w:t xml:space="preserve"/>
        <w:br/>
        <w:t xml:space="preserve">« Dans 10 ans il n’y aura plus d’argent liquide. »</w:t>
        <w:br/>
        <w:t xml:space="preserve">John Cryan (Banque d’Allemagne)</w:t>
        <w:br/>
        <w:t xml:space="preserve">2016 à Davos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www.biallo.de/girokonto/news/sparkassen-schaffen-die-kostenlosebargeldversorgung-ab/</w:t>
        </w:r>
      </w:hyperlink>
      <w:hyperlink w:history="true" r:id="rId22">
        <w:r w:rsidRPr="00F24C6F">
          <w:rPr>
            <w:rStyle w:val="Hyperlink"/>
          </w:rPr>
          <w:rPr>
            <w:sz w:val="18"/>
          </w:rPr>
          <w:t>www.gevestor.de/news/neues-zum-thema-bargeldabschaffung-762579.html</w:t>
        </w:r>
      </w:hyperlink>
      <w:hyperlink w:history="true" r:id="rId23">
        <w:r w:rsidRPr="00F24C6F">
          <w:rPr>
            <w:rStyle w:val="Hyperlink"/>
          </w:rPr>
          <w:rPr>
            <w:sz w:val="18"/>
          </w:rPr>
          <w:t>www.mmnews.de/index.php/wirtschaft/106403-vorbereitung-aufbargeldabschaffung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#AbolitionArgentLiquide - de l'argent liquide - </w:t>
      </w:r>
      <w:hyperlink w:history="true" r:id="rId24">
        <w:r w:rsidRPr="00F24C6F">
          <w:rPr>
            <w:rStyle w:val="Hyperlink"/>
          </w:rPr>
          <w:t>www.kla.tv/AbolitionArgentLiquide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L’argent liquide « trop cher » doit conduire à une société sans argent liquide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www.kla.tv/10725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allo.de/girokonto/news/sparkassen-schaffen-die-kostenlosebargeldversorgung-ab/" TargetMode="External" Id="rId21" /><Relationship Type="http://schemas.openxmlformats.org/officeDocument/2006/relationships/hyperlink" Target="https://www.gevestor.de/news/neues-zum-thema-bargeldabschaffung-762579.html" TargetMode="External" Id="rId22" /><Relationship Type="http://schemas.openxmlformats.org/officeDocument/2006/relationships/hyperlink" Target="https://www.mmnews.de/index.php/wirtschaft/106403-vorbereitung-aufbargeldabschaffung" TargetMode="External" Id="rId23" /><Relationship Type="http://schemas.openxmlformats.org/officeDocument/2006/relationships/hyperlink" Target="https://www.kla.tv/AbolitionArgentLiquid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2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L’argent liquide « trop cher » doit conduire à une société sans argent liquide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